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3A2120E9" w:rsidR="005A7127" w:rsidRDefault="008E779A" w:rsidP="008E779A">
      <w:hyperlink r:id="rId6" w:history="1">
        <w:r w:rsidRPr="00334D0F">
          <w:rPr>
            <w:rStyle w:val="Collegamentoipertestuale"/>
          </w:rPr>
          <w:t>https://www.ansa.it/english/news/2025/02/15/us-tariffs-impact-stronger-on-italy-and-germany-panetta_6f662c10-6a7d-45fd-9aef-a815bd2a487c.html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sa.it/english/news/2025/02/15/us-tariffs-impact-stronger-on-italy-and-germany-panetta_6f662c10-6a7d-45fd-9aef-a815bd2a487c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2025-02-20T13:43:00Z</dcterms:created>
  <dcterms:modified xsi:type="dcterms:W3CDTF">2025-02-20T13:43:00Z</dcterms:modified>
</cp:coreProperties>
</file>